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246" w:rsidRDefault="002D5E11">
      <w:pPr>
        <w:spacing w:after="0" w:line="360" w:lineRule="auto"/>
        <w:jc w:val="center"/>
        <w:rPr>
          <w:rStyle w:val="Nessuno"/>
          <w:rFonts w:ascii="Tahoma Bold" w:eastAsia="Tahoma Bold" w:hAnsi="Tahoma Bold" w:cs="Tahoma Bold"/>
        </w:rPr>
      </w:pPr>
      <w:r>
        <w:rPr>
          <w:rStyle w:val="Nessuno"/>
          <w:rFonts w:ascii="Tahoma Bold" w:hAnsi="Tahoma Bold"/>
        </w:rPr>
        <w:t xml:space="preserve">PROTOCOLLO DI RELAZIONI SINDACALI </w:t>
      </w:r>
    </w:p>
    <w:p w:rsidR="00B46246" w:rsidRDefault="002D5E11">
      <w:pPr>
        <w:spacing w:after="0" w:line="360" w:lineRule="auto"/>
        <w:jc w:val="center"/>
        <w:rPr>
          <w:rStyle w:val="Nessuno"/>
          <w:rFonts w:ascii="Tahoma Bold" w:eastAsia="Tahoma Bold" w:hAnsi="Tahoma Bold" w:cs="Tahoma Bold"/>
        </w:rPr>
      </w:pPr>
      <w:r>
        <w:rPr>
          <w:rStyle w:val="Nessuno"/>
          <w:rFonts w:ascii="Tahoma Bold" w:hAnsi="Tahoma Bold"/>
        </w:rPr>
        <w:t>PER UN PATTO PER IL RILANCIO DELLA CITT</w:t>
      </w:r>
      <w:r>
        <w:rPr>
          <w:rStyle w:val="Nessuno"/>
          <w:rFonts w:ascii="Tahoma Bold" w:hAnsi="Tahoma Bold"/>
          <w:caps/>
        </w:rPr>
        <w:t>à</w:t>
      </w:r>
      <w:r>
        <w:rPr>
          <w:rStyle w:val="Nessuno"/>
          <w:rFonts w:ascii="Tahoma Bold" w:hAnsi="Tahoma Bold"/>
        </w:rPr>
        <w:t xml:space="preserve"> DI CHIETI</w:t>
      </w:r>
    </w:p>
    <w:p w:rsidR="00B46246" w:rsidRDefault="002D5E11">
      <w:pPr>
        <w:spacing w:after="0" w:line="360" w:lineRule="auto"/>
        <w:jc w:val="center"/>
        <w:rPr>
          <w:rStyle w:val="Nessuno"/>
          <w:rFonts w:ascii="Tahoma Bold" w:hAnsi="Tahoma Bold"/>
        </w:rPr>
      </w:pPr>
      <w:r>
        <w:rPr>
          <w:rStyle w:val="Nessuno"/>
          <w:rFonts w:ascii="Tahoma Bold" w:hAnsi="Tahoma Bold"/>
        </w:rPr>
        <w:t>tra Comune di Chieti, Confederazioni sindacali territoriali Cgil, Cisl, Uil e sindacato dei pensionati FNP CISL, SPI CGIL, UILP UIL</w:t>
      </w:r>
    </w:p>
    <w:p w:rsidR="0092138C" w:rsidRDefault="0092138C">
      <w:pPr>
        <w:spacing w:after="0" w:line="360" w:lineRule="auto"/>
        <w:jc w:val="center"/>
        <w:rPr>
          <w:rStyle w:val="Nessuno"/>
          <w:rFonts w:ascii="Tahoma Bold" w:eastAsia="Tahoma Bold" w:hAnsi="Tahoma Bold" w:cs="Tahoma Bold"/>
        </w:rPr>
      </w:pPr>
    </w:p>
    <w:p w:rsidR="00B46246" w:rsidRDefault="002D5E11">
      <w:pPr>
        <w:spacing w:after="0" w:line="360" w:lineRule="auto"/>
        <w:jc w:val="both"/>
        <w:rPr>
          <w:rStyle w:val="Nessuno"/>
          <w:rFonts w:ascii="Tahoma" w:eastAsia="Tahoma" w:hAnsi="Tahoma" w:cs="Tahoma"/>
        </w:rPr>
      </w:pPr>
      <w:r>
        <w:rPr>
          <w:rStyle w:val="Nessuno"/>
          <w:rFonts w:ascii="Tahoma" w:hAnsi="Tahoma"/>
        </w:rPr>
        <w:t>Con il presente protocollo d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intesa, </w:t>
      </w:r>
      <w:r>
        <w:rPr>
          <w:rStyle w:val="Nessuno"/>
          <w:rFonts w:ascii="Tahoma" w:hAnsi="Tahoma"/>
        </w:rPr>
        <w:t>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Amministrazione comunale di Chieti, le Confederazioni sindacali sopra indicate ed i sindacati dei pensionati intendono istituire un tavolo permanente di confronto, relazione e dialogo allo scopo di costruire un sistema di relazioni sindacali in grado di </w:t>
      </w:r>
      <w:r>
        <w:rPr>
          <w:rStyle w:val="Nessuno"/>
          <w:rFonts w:ascii="Tahoma" w:hAnsi="Tahoma"/>
        </w:rPr>
        <w:t xml:space="preserve">praticare, a seconda delle aree di confronto, la concertazione e la contrattazione sociale territoriale nel Comune di Chieti, al fine di individuare  azioni e misure amministrative per la tutela delle condizioni della popolazione,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in particolare </w:t>
      </w:r>
      <w:r w:rsidRPr="00E2105A">
        <w:rPr>
          <w:rStyle w:val="Nessuno"/>
          <w:rFonts w:ascii="Tahoma" w:hAnsi="Tahoma"/>
          <w:color w:val="000000" w:themeColor="text1"/>
        </w:rPr>
        <w:t xml:space="preserve"> </w:t>
      </w:r>
      <w:r>
        <w:rPr>
          <w:rStyle w:val="Nessuno"/>
          <w:rFonts w:ascii="Tahoma" w:hAnsi="Tahoma"/>
        </w:rPr>
        <w:t>pi</w:t>
      </w:r>
      <w:r>
        <w:rPr>
          <w:rStyle w:val="Nessuno"/>
          <w:rFonts w:ascii="Tahoma" w:hAnsi="Tahoma"/>
        </w:rPr>
        <w:t xml:space="preserve">ù </w:t>
      </w:r>
      <w:r>
        <w:rPr>
          <w:rStyle w:val="Nessuno"/>
          <w:rFonts w:ascii="Tahoma" w:hAnsi="Tahoma"/>
        </w:rPr>
        <w:t>fragi</w:t>
      </w:r>
      <w:r>
        <w:rPr>
          <w:rStyle w:val="Nessuno"/>
          <w:rFonts w:ascii="Tahoma" w:hAnsi="Tahoma"/>
        </w:rPr>
        <w:t>le, degli anziani, delle classi sociali meno abbienti ed i giovani.</w:t>
      </w:r>
    </w:p>
    <w:p w:rsidR="00B46246" w:rsidRDefault="002D5E11">
      <w:pPr>
        <w:spacing w:after="0" w:line="360" w:lineRule="auto"/>
        <w:jc w:val="both"/>
        <w:rPr>
          <w:rStyle w:val="Nessuno"/>
          <w:rFonts w:ascii="Tahoma" w:eastAsia="Tahoma" w:hAnsi="Tahoma" w:cs="Tahoma"/>
        </w:rPr>
      </w:pPr>
      <w:r>
        <w:rPr>
          <w:rStyle w:val="Nessuno"/>
          <w:rFonts w:ascii="Tahoma" w:hAnsi="Tahoma"/>
        </w:rPr>
        <w:t xml:space="preserve">La scelta di avviare e consolidare questo tipo di relazioni sindacali </w:t>
      </w:r>
      <w:r>
        <w:rPr>
          <w:rStyle w:val="Nessuno"/>
          <w:rFonts w:ascii="Tahoma" w:hAnsi="Tahoma"/>
        </w:rPr>
        <w:t xml:space="preserve">è </w:t>
      </w:r>
      <w:r>
        <w:rPr>
          <w:rStyle w:val="Nessuno"/>
          <w:rFonts w:ascii="Tahoma" w:hAnsi="Tahoma"/>
        </w:rPr>
        <w:t>motivata da:</w:t>
      </w:r>
    </w:p>
    <w:p w:rsidR="00B46246" w:rsidRDefault="002D5E1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la necessit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>di condividere politiche finalizzate alla riduzione degli effetti negativi determinati, ne</w:t>
      </w:r>
      <w:r>
        <w:rPr>
          <w:rStyle w:val="Nessuno"/>
          <w:rFonts w:ascii="Tahoma" w:hAnsi="Tahoma"/>
        </w:rPr>
        <w:t xml:space="preserve">l contesto socio-economico, dalla pandemia Covid-19, che </w:t>
      </w:r>
      <w:r>
        <w:rPr>
          <w:rStyle w:val="Nessuno"/>
          <w:rFonts w:ascii="Tahoma" w:hAnsi="Tahoma"/>
        </w:rPr>
        <w:t xml:space="preserve">è </w:t>
      </w:r>
      <w:r>
        <w:rPr>
          <w:rStyle w:val="Nessuno"/>
          <w:rFonts w:ascii="Tahoma" w:hAnsi="Tahoma"/>
        </w:rPr>
        <w:t>destinata ad acuire la gi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>profond</w:t>
      </w:r>
      <w:r w:rsidR="00E2105A">
        <w:rPr>
          <w:rStyle w:val="Nessuno"/>
          <w:rFonts w:ascii="Tahoma" w:hAnsi="Tahoma"/>
        </w:rPr>
        <w:t>a</w:t>
      </w:r>
      <w:r>
        <w:rPr>
          <w:rStyle w:val="Nessuno"/>
          <w:rFonts w:ascii="Tahoma" w:hAnsi="Tahoma"/>
        </w:rPr>
        <w:t xml:space="preserve"> crisi economico-finanziaria da tempo in atto;</w:t>
      </w:r>
    </w:p>
    <w:p w:rsidR="00B46246" w:rsidRDefault="002D5E1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opportunit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>di allocare in modo efficiente ed a favore delle classi pi</w:t>
      </w:r>
      <w:r>
        <w:rPr>
          <w:rStyle w:val="Nessuno"/>
          <w:rFonts w:ascii="Tahoma" w:hAnsi="Tahoma"/>
        </w:rPr>
        <w:t xml:space="preserve">ù </w:t>
      </w:r>
      <w:r>
        <w:rPr>
          <w:rStyle w:val="Nessuno"/>
          <w:rFonts w:ascii="Tahoma" w:hAnsi="Tahoma"/>
        </w:rPr>
        <w:t>deboli le risorse che saranno messe a dis</w:t>
      </w:r>
      <w:r>
        <w:rPr>
          <w:rStyle w:val="Nessuno"/>
          <w:rFonts w:ascii="Tahoma" w:hAnsi="Tahoma"/>
        </w:rPr>
        <w:t>posizione degli enti locali da parte del governo centrale per la ripresa economica dei territori;</w:t>
      </w:r>
    </w:p>
    <w:p w:rsidR="00B46246" w:rsidRDefault="002D5E1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la necessit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 xml:space="preserve">di condividere scelte,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che consentano contemporaneamente</w:t>
      </w:r>
      <w:r w:rsidR="00E2105A">
        <w:rPr>
          <w:rStyle w:val="Nessuno"/>
          <w:rFonts w:ascii="Tahoma" w:hAnsi="Tahoma"/>
        </w:rPr>
        <w:t>,</w:t>
      </w:r>
      <w:r w:rsidRPr="00E2105A">
        <w:rPr>
          <w:rStyle w:val="Nessuno"/>
          <w:rFonts w:ascii="Tahoma" w:hAnsi="Tahoma"/>
        </w:rPr>
        <w:t xml:space="preserve"> </w:t>
      </w:r>
      <w:r>
        <w:rPr>
          <w:rStyle w:val="Nessuno"/>
          <w:rFonts w:ascii="Tahoma" w:hAnsi="Tahoma"/>
        </w:rPr>
        <w:t>di far fronte alla situazione dell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ente locale, che, 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inizio del 2021, ha </w:t>
      </w:r>
      <w:r>
        <w:rPr>
          <w:rStyle w:val="Nessuno"/>
          <w:rFonts w:ascii="Tahoma" w:hAnsi="Tahoma"/>
        </w:rPr>
        <w:t>certificato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esistenza di un disavanzo di bilancio di circa 78.000.000,00 di euro, </w:t>
      </w:r>
      <w:r w:rsidR="00E2105A">
        <w:rPr>
          <w:rStyle w:val="Nessuno"/>
          <w:rFonts w:ascii="Tahoma" w:hAnsi="Tahoma"/>
        </w:rPr>
        <w:t>ma anche di garantire servizi pubblici con i livelli di qualità che possano rispondere alle aspettative della popolazione. Ove è possibile ed in coerenza con il piano di riequilibrio, gestiti in forma diretta.</w:t>
      </w:r>
    </w:p>
    <w:p w:rsidR="00B46246" w:rsidRDefault="002D5E11">
      <w:pPr>
        <w:spacing w:after="0" w:line="360" w:lineRule="auto"/>
        <w:jc w:val="both"/>
        <w:rPr>
          <w:rStyle w:val="Nessuno"/>
          <w:rFonts w:ascii="Tahoma" w:eastAsia="Tahoma" w:hAnsi="Tahoma" w:cs="Tahoma"/>
        </w:rPr>
      </w:pPr>
      <w:r>
        <w:rPr>
          <w:rStyle w:val="Nessuno"/>
          <w:rFonts w:ascii="Tahoma" w:hAnsi="Tahoma"/>
        </w:rPr>
        <w:t>Le parti, in tale scenario, rit</w:t>
      </w:r>
      <w:r>
        <w:rPr>
          <w:rStyle w:val="Nessuno"/>
          <w:rFonts w:ascii="Tahoma" w:hAnsi="Tahoma"/>
        </w:rPr>
        <w:t>engono necessario di stringere un PATTO PER IL RILANCIO DELLA CITT</w:t>
      </w:r>
      <w:r>
        <w:rPr>
          <w:rStyle w:val="Nessuno"/>
          <w:rFonts w:ascii="Tahoma" w:hAnsi="Tahoma"/>
          <w:caps/>
        </w:rPr>
        <w:t>à</w:t>
      </w:r>
      <w:r>
        <w:rPr>
          <w:rStyle w:val="Nessuno"/>
          <w:rFonts w:ascii="Tahoma" w:hAnsi="Tahoma"/>
        </w:rPr>
        <w:t xml:space="preserve"> DI CHIETI, aperto ai soggetti collettivi che intendano sottoscriverlo, al fine di individuare politiche partecipative e collaborative, finalizzate 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elaborazione ed alla condivisione di </w:t>
      </w:r>
      <w:r>
        <w:rPr>
          <w:rStyle w:val="Nessuno"/>
          <w:rFonts w:ascii="Tahoma" w:hAnsi="Tahoma"/>
        </w:rPr>
        <w:t xml:space="preserve">efficaci politiche anticrisi e </w:t>
      </w:r>
      <w:r w:rsidRPr="00E2105A">
        <w:rPr>
          <w:rStyle w:val="Nessuno"/>
          <w:rFonts w:ascii="Tahoma" w:hAnsi="Tahoma"/>
          <w:color w:val="000000" w:themeColor="text1"/>
        </w:rPr>
        <w:t xml:space="preserve">di sviluppo,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anche in previsione del lavoro che dovr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à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essere fatto con le risorse destinate al territorio dai provvedimenti futuri </w:t>
      </w:r>
      <w:r w:rsidRPr="00E2105A">
        <w:rPr>
          <w:rStyle w:val="Nessuno"/>
          <w:rFonts w:ascii="Tahoma" w:hAnsi="Tahoma"/>
          <w:color w:val="000000" w:themeColor="text1"/>
        </w:rPr>
        <w:t>e, pertanto, esse convengono: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 xml:space="preserve">di riconoscere il valore sociale delle relazioni sindacali </w:t>
      </w:r>
      <w:r>
        <w:rPr>
          <w:rStyle w:val="Nessuno"/>
          <w:rFonts w:ascii="Tahoma" w:hAnsi="Tahoma"/>
        </w:rPr>
        <w:t>fondate sul reciproco riconoscimento e rispetto;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di stabilire un confronto periodico atto a produrre iniziative volte alla tutela dei lavoratori, dei pensionati e dei giovani, al fine di fornire servizi migliori alla cittadinanza ed agli operatori economic</w:t>
      </w:r>
      <w:r>
        <w:rPr>
          <w:rStyle w:val="Nessuno"/>
          <w:rFonts w:ascii="Tahoma" w:hAnsi="Tahoma"/>
        </w:rPr>
        <w:t xml:space="preserve">i; </w:t>
      </w:r>
      <w:r w:rsidR="00E2105A">
        <w:rPr>
          <w:rStyle w:val="Nessuno"/>
          <w:rFonts w:ascii="Tahoma" w:hAnsi="Tahoma"/>
        </w:rPr>
        <w:t xml:space="preserve">le parti auspicano che </w:t>
      </w:r>
      <w:r>
        <w:rPr>
          <w:rStyle w:val="Nessuno"/>
          <w:rFonts w:ascii="Tahoma" w:hAnsi="Tahoma"/>
        </w:rPr>
        <w:t xml:space="preserve">da tali confronti </w:t>
      </w:r>
      <w:r w:rsidR="00E2105A" w:rsidRPr="00E2105A">
        <w:rPr>
          <w:rStyle w:val="Nessuno"/>
          <w:rFonts w:ascii="Tahoma" w:hAnsi="Tahoma"/>
          <w:color w:val="000000" w:themeColor="text1"/>
          <w:u w:color="FF0000"/>
        </w:rPr>
        <w:lastRenderedPageBreak/>
        <w:t>possano scatu</w:t>
      </w:r>
      <w:r w:rsidR="00E2105A">
        <w:rPr>
          <w:rStyle w:val="Nessuno"/>
          <w:rFonts w:ascii="Tahoma" w:hAnsi="Tahoma"/>
          <w:color w:val="000000" w:themeColor="text1"/>
          <w:u w:color="FF0000"/>
        </w:rPr>
        <w:t>r</w:t>
      </w:r>
      <w:r w:rsidR="00E2105A" w:rsidRPr="00E2105A">
        <w:rPr>
          <w:rStyle w:val="Nessuno"/>
          <w:rFonts w:ascii="Tahoma" w:hAnsi="Tahoma"/>
          <w:color w:val="000000" w:themeColor="text1"/>
          <w:u w:color="FF0000"/>
        </w:rPr>
        <w:t>ire</w:t>
      </w:r>
      <w:r w:rsidRPr="00E2105A">
        <w:rPr>
          <w:rStyle w:val="Nessuno"/>
          <w:rFonts w:ascii="Tahoma" w:hAnsi="Tahoma"/>
          <w:color w:val="000000" w:themeColor="text1"/>
        </w:rPr>
        <w:t xml:space="preserve"> </w:t>
      </w:r>
      <w:r>
        <w:rPr>
          <w:rStyle w:val="Nessuno"/>
          <w:rFonts w:ascii="Tahoma" w:hAnsi="Tahoma"/>
        </w:rPr>
        <w:t>specifici accordi volti al sostegno delle persone e dei nuclei pi</w:t>
      </w:r>
      <w:r>
        <w:rPr>
          <w:rStyle w:val="Nessuno"/>
          <w:rFonts w:ascii="Tahoma" w:hAnsi="Tahoma"/>
        </w:rPr>
        <w:t xml:space="preserve">ù </w:t>
      </w:r>
      <w:r>
        <w:rPr>
          <w:rStyle w:val="Nessuno"/>
          <w:rFonts w:ascii="Tahoma" w:hAnsi="Tahoma"/>
        </w:rPr>
        <w:t>svantaggiati per motivi economici, sociali, sanitari, con particolare attenzione alle nuove forme di povert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>ed</w:t>
      </w:r>
      <w:r>
        <w:rPr>
          <w:rStyle w:val="Nessuno"/>
          <w:rFonts w:ascii="Tahoma" w:hAnsi="Tahoma"/>
        </w:rPr>
        <w:t xml:space="preserve"> emarginazione;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 xml:space="preserve">di impegnare il Sindaco e gli Assessori competenti a garantire una costante </w:t>
      </w:r>
      <w:r w:rsidR="00E2105A">
        <w:rPr>
          <w:rStyle w:val="Nessuno"/>
          <w:rFonts w:ascii="Tahoma" w:hAnsi="Tahoma"/>
        </w:rPr>
        <w:t xml:space="preserve">informazione e consultazione </w:t>
      </w:r>
      <w:r>
        <w:rPr>
          <w:rStyle w:val="Nessuno"/>
          <w:rFonts w:ascii="Tahoma" w:hAnsi="Tahoma"/>
        </w:rPr>
        <w:t>sulle scelte di indirizzo generale e strategico di programma</w:t>
      </w:r>
      <w:r w:rsidR="00E2105A">
        <w:rPr>
          <w:rStyle w:val="Nessuno"/>
          <w:rFonts w:ascii="Tahoma" w:hAnsi="Tahoma"/>
        </w:rPr>
        <w:t>, al fine di promuovere una loro condivisione;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di riservare in ogni incontro di cui al presente Protocollo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attenz</w:t>
      </w:r>
      <w:r>
        <w:rPr>
          <w:rStyle w:val="Nessuno"/>
          <w:rFonts w:ascii="Tahoma" w:hAnsi="Tahoma"/>
        </w:rPr>
        <w:t>ione alle politiche di genere, realizzando ogni utile riunione con il soggetto deputato ad occuparsi di pari opportunit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 xml:space="preserve">per conto del Comune di Chieti; le parti, inoltre, ritengono </w:t>
      </w:r>
      <w:r w:rsidR="00E2105A">
        <w:rPr>
          <w:rStyle w:val="Nessuno"/>
          <w:rFonts w:ascii="Tahoma" w:hAnsi="Tahoma"/>
        </w:rPr>
        <w:t>opportuno</w:t>
      </w:r>
      <w:r>
        <w:rPr>
          <w:rStyle w:val="Nessuno"/>
          <w:rFonts w:ascii="Tahoma" w:hAnsi="Tahoma"/>
        </w:rPr>
        <w:t xml:space="preserve"> avviare il cd. bilancio di genere dell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Amministrazione Comunale</w:t>
      </w:r>
      <w:r>
        <w:rPr>
          <w:rStyle w:val="Nessuno"/>
          <w:rFonts w:ascii="Tahoma" w:hAnsi="Tahoma"/>
        </w:rPr>
        <w:t>.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 xml:space="preserve">che, in particolare, saranno temi di confronto gli indirizzi strategici delle politiche comunali qui sotto indicate e </w:t>
      </w:r>
      <w:r>
        <w:rPr>
          <w:rStyle w:val="Nessuno"/>
          <w:rFonts w:ascii="Tahoma" w:hAnsi="Tahoma"/>
          <w:color w:val="FF0000"/>
          <w:u w:color="FF0000"/>
        </w:rPr>
        <w:t xml:space="preserve"> </w:t>
      </w:r>
      <w:r>
        <w:rPr>
          <w:rStyle w:val="Nessuno"/>
          <w:rFonts w:ascii="Tahoma" w:hAnsi="Tahoma"/>
        </w:rPr>
        <w:t>che potranno essere anche oggetto di specifiche intese:</w:t>
      </w:r>
    </w:p>
    <w:p w:rsidR="00B46246" w:rsidRPr="00E2105A" w:rsidRDefault="002D5E11" w:rsidP="00E2105A">
      <w:pPr>
        <w:pStyle w:val="Paragrafoelenco"/>
        <w:spacing w:after="0" w:line="360" w:lineRule="auto"/>
        <w:jc w:val="both"/>
        <w:rPr>
          <w:rFonts w:ascii="Tahoma" w:eastAsia="Tahoma" w:hAnsi="Tahoma" w:cs="Tahoma"/>
        </w:rPr>
      </w:pPr>
      <w:r w:rsidRPr="00E2105A">
        <w:rPr>
          <w:rStyle w:val="Nessuno"/>
          <w:rFonts w:ascii="Tahoma" w:hAnsi="Tahoma"/>
          <w:color w:val="000000" w:themeColor="text1"/>
          <w:u w:color="FF0000"/>
        </w:rPr>
        <w:t>Politiche di sviluppo</w:t>
      </w:r>
      <w:r w:rsidR="00E2105A" w:rsidRPr="00E2105A">
        <w:rPr>
          <w:rStyle w:val="Nessuno"/>
          <w:rFonts w:ascii="Tahoma" w:hAnsi="Tahoma"/>
          <w:color w:val="000000" w:themeColor="text1"/>
          <w:u w:color="FF0000"/>
        </w:rPr>
        <w:t xml:space="preserve"> </w:t>
      </w:r>
      <w:r w:rsidR="00E2105A">
        <w:rPr>
          <w:rStyle w:val="Nessuno"/>
          <w:rFonts w:ascii="Tahoma" w:hAnsi="Tahoma"/>
          <w:color w:val="000000" w:themeColor="text1"/>
        </w:rPr>
        <w:t>w</w:t>
      </w:r>
      <w:r w:rsidRPr="00E2105A">
        <w:rPr>
          <w:rStyle w:val="Nessuno"/>
          <w:rFonts w:ascii="Tahoma" w:hAnsi="Tahoma"/>
          <w:color w:val="000000" w:themeColor="text1"/>
        </w:rPr>
        <w:t>elfare locale</w:t>
      </w:r>
      <w:r w:rsidRPr="00E2105A">
        <w:rPr>
          <w:rStyle w:val="Nessuno"/>
          <w:rFonts w:ascii="Tahoma" w:hAnsi="Tahoma"/>
        </w:rPr>
        <w:t>: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P</w:t>
      </w:r>
      <w:r>
        <w:rPr>
          <w:rStyle w:val="Nessuno"/>
          <w:rFonts w:ascii="Tahoma" w:hAnsi="Tahoma"/>
        </w:rPr>
        <w:t>olitiche socio-sanitarie</w:t>
      </w:r>
      <w:r w:rsidR="00E2105A">
        <w:rPr>
          <w:rStyle w:val="Nessuno"/>
          <w:rFonts w:ascii="Tahoma" w:hAnsi="Tahoma"/>
        </w:rPr>
        <w:t xml:space="preserve"> con particolare riferimento alla popolazione anziana;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Servizi per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infanzia, scolastici ed educativi, sport e tempo libero;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Inclusione sociale;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Contrasto alla povert</w:t>
      </w:r>
      <w:r>
        <w:rPr>
          <w:rStyle w:val="Nessuno"/>
          <w:rFonts w:ascii="Tahoma" w:hAnsi="Tahoma"/>
        </w:rPr>
        <w:t>à</w:t>
      </w:r>
      <w:r>
        <w:rPr>
          <w:rStyle w:val="Nessuno"/>
          <w:rFonts w:ascii="Tahoma" w:hAnsi="Tahoma"/>
        </w:rPr>
        <w:t>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Rigenerazione urbana, per la riqualificazione del patrimonio esistente e per vitare consumo ulteriore di suolo.</w:t>
      </w:r>
    </w:p>
    <w:p w:rsidR="00B46246" w:rsidRDefault="002D5E11">
      <w:pPr>
        <w:pStyle w:val="Paragrafoelenco"/>
        <w:spacing w:after="0" w:line="360" w:lineRule="auto"/>
        <w:ind w:left="567"/>
        <w:jc w:val="both"/>
        <w:rPr>
          <w:rStyle w:val="Nessuno"/>
          <w:rFonts w:ascii="Tahoma" w:eastAsia="Tahoma" w:hAnsi="Tahoma" w:cs="Tahoma"/>
        </w:rPr>
      </w:pPr>
      <w:r>
        <w:rPr>
          <w:rStyle w:val="Nessuno"/>
          <w:rFonts w:ascii="Tahoma" w:hAnsi="Tahoma"/>
        </w:rPr>
        <w:t xml:space="preserve">In proposito, le parti prendono atto </w:t>
      </w:r>
      <w:r>
        <w:rPr>
          <w:rStyle w:val="Nessuno"/>
          <w:rFonts w:ascii="Tahoma" w:hAnsi="Tahoma"/>
        </w:rPr>
        <w:t>favorevolmente delle iniziative intraprese dall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amministrazione comunale, quali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avvio del Pronto intervento sociale e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intenzione di istituire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Osservatorio sulla povert</w:t>
      </w:r>
      <w:r>
        <w:rPr>
          <w:rStyle w:val="Nessuno"/>
          <w:rFonts w:ascii="Tahoma" w:hAnsi="Tahoma"/>
        </w:rPr>
        <w:t>à</w:t>
      </w:r>
      <w:r>
        <w:rPr>
          <w:rStyle w:val="Nessuno"/>
          <w:rFonts w:ascii="Tahoma" w:hAnsi="Tahoma"/>
        </w:rPr>
        <w:t>, con la compartecipazione delle parti sociali e dei soggetti del terzo settore.</w:t>
      </w:r>
    </w:p>
    <w:p w:rsidR="00B46246" w:rsidRDefault="00B46246">
      <w:pPr>
        <w:pStyle w:val="Paragrafoelenco"/>
        <w:spacing w:after="0" w:line="360" w:lineRule="auto"/>
        <w:ind w:left="567"/>
        <w:jc w:val="both"/>
        <w:rPr>
          <w:rStyle w:val="Nessuno"/>
          <w:rFonts w:ascii="Tahoma" w:eastAsia="Tahoma" w:hAnsi="Tahoma" w:cs="Tahoma"/>
        </w:rPr>
      </w:pPr>
    </w:p>
    <w:p w:rsidR="00B46246" w:rsidRPr="00E2105A" w:rsidRDefault="002D5E11">
      <w:pPr>
        <w:pStyle w:val="Paragrafoelenco"/>
        <w:spacing w:after="0" w:line="360" w:lineRule="auto"/>
        <w:jc w:val="both"/>
        <w:rPr>
          <w:rStyle w:val="Nessuno"/>
          <w:rFonts w:ascii="Tahoma" w:eastAsia="Tahoma" w:hAnsi="Tahoma" w:cs="Tahoma"/>
          <w:color w:val="000000" w:themeColor="text1"/>
          <w:u w:color="FF0000"/>
        </w:rPr>
      </w:pPr>
      <w:r w:rsidRPr="00E2105A">
        <w:rPr>
          <w:rStyle w:val="Nessuno"/>
          <w:rFonts w:ascii="Tahoma" w:hAnsi="Tahoma"/>
          <w:color w:val="000000" w:themeColor="text1"/>
          <w:u w:color="FF0000"/>
        </w:rPr>
        <w:t>Vivibilit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à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ed Ambiente</w:t>
      </w:r>
    </w:p>
    <w:p w:rsidR="00B46246" w:rsidRDefault="002D5E11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Politiche abitative: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Contrasto 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abusivismo;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Edilizia residenziale pubblica;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Emergenza abitativa.</w:t>
      </w:r>
    </w:p>
    <w:p w:rsidR="00B46246" w:rsidRDefault="002D5E11" w:rsidP="00E2105A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Style w:val="Nessuno"/>
          <w:rFonts w:ascii="Tahoma" w:hAnsi="Tahoma"/>
        </w:rPr>
      </w:pPr>
      <w:r>
        <w:rPr>
          <w:rStyle w:val="Nessuno"/>
          <w:rFonts w:ascii="Tahoma" w:hAnsi="Tahoma"/>
        </w:rPr>
        <w:t>Piano degli orari</w:t>
      </w:r>
    </w:p>
    <w:p w:rsidR="00E2105A" w:rsidRPr="00E2105A" w:rsidRDefault="00E2105A" w:rsidP="00E2105A">
      <w:pPr>
        <w:pStyle w:val="Paragrafoelenco"/>
        <w:spacing w:after="0" w:line="360" w:lineRule="auto"/>
        <w:ind w:left="2160"/>
        <w:jc w:val="both"/>
        <w:rPr>
          <w:rStyle w:val="Nessuno"/>
          <w:rFonts w:ascii="Tahoma" w:hAnsi="Tahoma"/>
        </w:rPr>
      </w:pPr>
    </w:p>
    <w:p w:rsidR="00B46246" w:rsidRPr="00E2105A" w:rsidRDefault="002D5E11">
      <w:pPr>
        <w:pStyle w:val="Paragrafoelenco"/>
        <w:spacing w:after="0" w:line="360" w:lineRule="auto"/>
        <w:ind w:left="567"/>
        <w:jc w:val="both"/>
        <w:rPr>
          <w:rStyle w:val="Nessuno"/>
          <w:rFonts w:ascii="Tahoma" w:eastAsia="Tahoma" w:hAnsi="Tahoma" w:cs="Tahoma"/>
          <w:color w:val="000000" w:themeColor="text1"/>
          <w:u w:color="FF0000"/>
        </w:rPr>
      </w:pPr>
      <w:r w:rsidRPr="00E2105A">
        <w:rPr>
          <w:rStyle w:val="Nessuno"/>
          <w:rFonts w:ascii="Tahoma" w:hAnsi="Tahoma"/>
          <w:color w:val="000000" w:themeColor="text1"/>
          <w:u w:color="FF0000"/>
        </w:rPr>
        <w:t>B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ilancio e fiscalit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à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locale: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Imposte comunali;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Contrasto 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evasione fiscale;</w:t>
      </w:r>
    </w:p>
    <w:p w:rsidR="00B46246" w:rsidRDefault="002D5E11">
      <w:pPr>
        <w:pStyle w:val="Paragrafoelenco"/>
        <w:numPr>
          <w:ilvl w:val="2"/>
          <w:numId w:val="8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lastRenderedPageBreak/>
        <w:t>Tariffe e servizi;</w:t>
      </w:r>
    </w:p>
    <w:p w:rsidR="00B46246" w:rsidRPr="00E2105A" w:rsidRDefault="002D5E11">
      <w:pPr>
        <w:pStyle w:val="Paragrafoelenco"/>
        <w:spacing w:after="0" w:line="360" w:lineRule="auto"/>
        <w:jc w:val="both"/>
        <w:rPr>
          <w:rStyle w:val="Nessuno"/>
          <w:rFonts w:ascii="Tahoma" w:eastAsia="Tahoma" w:hAnsi="Tahoma" w:cs="Tahoma"/>
          <w:color w:val="000000" w:themeColor="text1"/>
          <w:u w:color="FF0000"/>
        </w:rPr>
      </w:pP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In  particolare sul Bilancio, al fine di garantire una informazione efficace e raccogliere eventuali proposte ed osservazioni, il Sindaco direttamente o per il tramite </w:t>
      </w:r>
      <w:r w:rsidR="00E2105A" w:rsidRPr="00E2105A">
        <w:rPr>
          <w:rStyle w:val="Nessuno"/>
          <w:rFonts w:ascii="Tahoma" w:hAnsi="Tahoma"/>
          <w:color w:val="000000" w:themeColor="text1"/>
          <w:u w:color="FF0000"/>
        </w:rPr>
        <w:t>del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l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’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Assessore al Bilancio convocher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à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di propria iniziativa o in accordo con gli Assessori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 competenti e/o su richiesta delle sottoscriventi Organizzazioni Sindacali, gli incontri per raccogliere proposte od osservazioni</w:t>
      </w:r>
      <w:r w:rsidR="00E2105A" w:rsidRPr="00E2105A">
        <w:rPr>
          <w:rStyle w:val="Nessuno"/>
          <w:rFonts w:ascii="Tahoma" w:hAnsi="Tahoma"/>
          <w:color w:val="000000" w:themeColor="text1"/>
          <w:u w:color="FF0000"/>
        </w:rPr>
        <w:t>.</w:t>
      </w:r>
    </w:p>
    <w:p w:rsidR="00B46246" w:rsidRDefault="00B46246">
      <w:pPr>
        <w:pStyle w:val="Paragrafoelenco"/>
        <w:spacing w:after="0" w:line="360" w:lineRule="auto"/>
        <w:ind w:left="2160"/>
        <w:jc w:val="both"/>
        <w:rPr>
          <w:rStyle w:val="Nessuno"/>
          <w:rFonts w:ascii="Tahoma" w:eastAsia="Tahoma" w:hAnsi="Tahoma" w:cs="Tahoma"/>
          <w:strike/>
        </w:rPr>
      </w:pPr>
    </w:p>
    <w:p w:rsidR="00B46246" w:rsidRDefault="002D5E11">
      <w:pPr>
        <w:pStyle w:val="Paragrafoelenco"/>
        <w:spacing w:after="0" w:line="360" w:lineRule="auto"/>
        <w:jc w:val="both"/>
        <w:rPr>
          <w:rStyle w:val="Nessuno"/>
          <w:rFonts w:ascii="Tahoma" w:eastAsia="Tahoma" w:hAnsi="Tahoma" w:cs="Tahoma"/>
          <w:color w:val="FF0000"/>
          <w:u w:color="FF0000"/>
        </w:rPr>
      </w:pPr>
      <w:r>
        <w:rPr>
          <w:rStyle w:val="Nessuno"/>
          <w:rFonts w:ascii="Tahoma" w:hAnsi="Tahoma"/>
        </w:rPr>
        <w:t>Sotto questo profilo</w:t>
      </w:r>
      <w:r w:rsidRPr="00E2105A">
        <w:rPr>
          <w:rStyle w:val="Nessuno"/>
          <w:rFonts w:ascii="Tahoma" w:hAnsi="Tahoma"/>
          <w:color w:val="000000" w:themeColor="text1"/>
        </w:rPr>
        <w:t>,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 le OOSS hanno preso visione</w:t>
      </w:r>
      <w:r>
        <w:rPr>
          <w:rStyle w:val="Nessuno"/>
          <w:rFonts w:ascii="Tahoma" w:hAnsi="Tahoma"/>
        </w:rPr>
        <w:t xml:space="preserve"> della gra</w:t>
      </w:r>
      <w:r>
        <w:rPr>
          <w:rStyle w:val="Nessuno"/>
          <w:rFonts w:ascii="Tahoma" w:hAnsi="Tahoma"/>
        </w:rPr>
        <w:t>ve situazione finanziaria dell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ente locale, che ha indotto il Consiglio comunale ad approvare un piano pluriennale di riequilibrio. Le parti, quindi, assumono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impegno di promuovere iniziative tese al rispetto del piano di </w:t>
      </w:r>
      <w:r w:rsidRPr="00E2105A">
        <w:rPr>
          <w:rStyle w:val="Nessuno"/>
          <w:rFonts w:ascii="Tahoma" w:hAnsi="Tahoma"/>
          <w:color w:val="000000" w:themeColor="text1"/>
        </w:rPr>
        <w:t xml:space="preserve">riequilibrio,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pur nella necessit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 xml:space="preserve">à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di adoperarsi per individuare scelte che vengano incontro ai bisogni della popolazione.</w:t>
      </w:r>
    </w:p>
    <w:p w:rsidR="00B46246" w:rsidRDefault="002D5E11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 xml:space="preserve">che, al fine di rendere proficuo il confronto sui temi individuati, </w:t>
      </w:r>
      <w:r>
        <w:rPr>
          <w:rStyle w:val="Nessuno"/>
          <w:rFonts w:ascii="Tahoma" w:hAnsi="Tahoma"/>
          <w:u w:val="single"/>
        </w:rPr>
        <w:t>si insedia un tavolo permanente di confronto sugli indirizzi strategici che concorder</w:t>
      </w:r>
      <w:r>
        <w:rPr>
          <w:rStyle w:val="Nessuno"/>
          <w:rFonts w:ascii="Tahoma" w:hAnsi="Tahoma"/>
          <w:u w:val="single"/>
        </w:rPr>
        <w:t xml:space="preserve">à </w:t>
      </w:r>
      <w:r>
        <w:rPr>
          <w:rStyle w:val="Nessuno"/>
          <w:rFonts w:ascii="Tahoma" w:hAnsi="Tahoma"/>
          <w:u w:val="single"/>
        </w:rPr>
        <w:t xml:space="preserve">la </w:t>
      </w:r>
      <w:r>
        <w:rPr>
          <w:rStyle w:val="Nessuno"/>
          <w:rFonts w:ascii="Tahoma" w:hAnsi="Tahoma"/>
          <w:u w:val="single"/>
        </w:rPr>
        <w:t>periodicit</w:t>
      </w:r>
      <w:r>
        <w:rPr>
          <w:rStyle w:val="Nessuno"/>
          <w:rFonts w:ascii="Tahoma" w:hAnsi="Tahoma"/>
          <w:u w:val="single"/>
        </w:rPr>
        <w:t xml:space="preserve">à </w:t>
      </w:r>
      <w:r>
        <w:rPr>
          <w:rStyle w:val="Nessuno"/>
          <w:rFonts w:ascii="Tahoma" w:hAnsi="Tahoma"/>
          <w:u w:val="single"/>
        </w:rPr>
        <w:t>delle riunioni,</w:t>
      </w:r>
      <w:r>
        <w:rPr>
          <w:rStyle w:val="Nessuno"/>
          <w:rFonts w:ascii="Tahoma" w:hAnsi="Tahoma"/>
        </w:rPr>
        <w:t xml:space="preserve"> fatto salvo sul bilancio annuale di previsione, per il quale il confronto preventivo avverr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 xml:space="preserve">con cadenza annuale precedente la presentazione; 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che il tavolo di cui al punto precedente sar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>composto dal Sindaco o dall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Assessore </w:t>
      </w:r>
      <w:r>
        <w:rPr>
          <w:rStyle w:val="Nessuno"/>
          <w:rFonts w:ascii="Tahoma" w:hAnsi="Tahoma"/>
        </w:rPr>
        <w:t>delegato ai rapporti con le organizzazioni sindacali, dall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Assessore competente per materia, dal Presidente della Commissione consiliare permanente competente per materia, dai rappresentanti delle associazioni sindacali che sottoscrivono il presente Protoc</w:t>
      </w:r>
      <w:r>
        <w:rPr>
          <w:rStyle w:val="Nessuno"/>
          <w:rFonts w:ascii="Tahoma" w:hAnsi="Tahoma"/>
        </w:rPr>
        <w:t>ollo;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che il presente Protocollo ha durata che coincide con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attuale mandato amministrativo dell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 xml:space="preserve">Amministrazione </w:t>
      </w:r>
      <w:r w:rsidRPr="00E2105A">
        <w:rPr>
          <w:rStyle w:val="Nessuno"/>
          <w:rFonts w:ascii="Tahoma" w:hAnsi="Tahoma"/>
          <w:color w:val="000000" w:themeColor="text1"/>
        </w:rPr>
        <w:t xml:space="preserve">comunale di </w:t>
      </w:r>
      <w:r w:rsidRPr="00E2105A">
        <w:rPr>
          <w:rStyle w:val="Nessuno"/>
          <w:rFonts w:ascii="Tahoma" w:hAnsi="Tahoma"/>
          <w:color w:val="000000" w:themeColor="text1"/>
          <w:u w:color="FF0000"/>
        </w:rPr>
        <w:t>CHIETI</w:t>
      </w:r>
      <w:r w:rsidRPr="00E2105A">
        <w:rPr>
          <w:rStyle w:val="Nessuno"/>
          <w:rFonts w:ascii="Tahoma" w:hAnsi="Tahoma"/>
          <w:color w:val="000000" w:themeColor="text1"/>
        </w:rPr>
        <w:t>;</w:t>
      </w:r>
    </w:p>
    <w:p w:rsidR="00B46246" w:rsidRDefault="002D5E11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ahoma" w:hAnsi="Tahoma"/>
        </w:rPr>
      </w:pPr>
      <w:r>
        <w:rPr>
          <w:rStyle w:val="Nessuno"/>
          <w:rFonts w:ascii="Tahoma" w:hAnsi="Tahoma"/>
        </w:rPr>
        <w:t>che il presente protocollo di relazioni sindacali non sostituisce l</w:t>
      </w:r>
      <w:r>
        <w:rPr>
          <w:rStyle w:val="Nessuno"/>
          <w:rFonts w:ascii="Tahoma" w:hAnsi="Tahoma"/>
        </w:rPr>
        <w:t>’</w:t>
      </w:r>
      <w:r>
        <w:rPr>
          <w:rStyle w:val="Nessuno"/>
          <w:rFonts w:ascii="Tahoma" w:hAnsi="Tahoma"/>
        </w:rPr>
        <w:t>ambito delle relazioni sindacali gi</w:t>
      </w:r>
      <w:r>
        <w:rPr>
          <w:rStyle w:val="Nessuno"/>
          <w:rFonts w:ascii="Tahoma" w:hAnsi="Tahoma"/>
        </w:rPr>
        <w:t xml:space="preserve">à </w:t>
      </w:r>
      <w:r>
        <w:rPr>
          <w:rStyle w:val="Nessuno"/>
          <w:rFonts w:ascii="Tahoma" w:hAnsi="Tahoma"/>
        </w:rPr>
        <w:t>disciplinate dall</w:t>
      </w:r>
      <w:r>
        <w:rPr>
          <w:rStyle w:val="Nessuno"/>
          <w:rFonts w:ascii="Tahoma" w:hAnsi="Tahoma"/>
        </w:rPr>
        <w:t>a legge e dai contratti collettivi.</w:t>
      </w:r>
    </w:p>
    <w:p w:rsidR="00B46246" w:rsidRDefault="00B46246">
      <w:pPr>
        <w:pStyle w:val="Paragrafoelenco"/>
        <w:spacing w:after="0" w:line="360" w:lineRule="auto"/>
        <w:jc w:val="both"/>
        <w:rPr>
          <w:rStyle w:val="Nessuno"/>
          <w:rFonts w:ascii="Tahoma" w:eastAsia="Tahoma" w:hAnsi="Tahoma" w:cs="Tahoma"/>
        </w:rPr>
      </w:pPr>
    </w:p>
    <w:p w:rsidR="00B46246" w:rsidRPr="0092138C" w:rsidRDefault="002D5E11" w:rsidP="0092138C">
      <w:pPr>
        <w:spacing w:after="0" w:line="360" w:lineRule="auto"/>
        <w:jc w:val="both"/>
        <w:rPr>
          <w:rFonts w:ascii="Tahoma" w:eastAsia="Tahoma" w:hAnsi="Tahoma" w:cs="Tahoma"/>
          <w:color w:val="000000" w:themeColor="text1"/>
          <w:u w:color="FF0000"/>
        </w:rPr>
      </w:pPr>
      <w:r w:rsidRPr="0092138C">
        <w:rPr>
          <w:rStyle w:val="Nessuno"/>
          <w:rFonts w:ascii="Tahoma" w:hAnsi="Tahoma"/>
          <w:color w:val="000000" w:themeColor="text1"/>
          <w:u w:color="FF0000"/>
        </w:rPr>
        <w:t>Visti i punti precedenti e volendo dare seguito al protocollo di relazioni concordano che la prima riunione del tavolo permanente si terr</w:t>
      </w:r>
      <w:r w:rsidRPr="0092138C">
        <w:rPr>
          <w:rStyle w:val="Nessuno"/>
          <w:rFonts w:ascii="Tahoma" w:hAnsi="Tahoma"/>
          <w:color w:val="000000" w:themeColor="text1"/>
          <w:u w:color="FF0000"/>
        </w:rPr>
        <w:t xml:space="preserve">à </w:t>
      </w:r>
      <w:r w:rsidR="0092138C" w:rsidRPr="0092138C">
        <w:rPr>
          <w:rStyle w:val="Nessuno"/>
          <w:rFonts w:ascii="Tahoma" w:hAnsi="Tahoma"/>
          <w:color w:val="000000" w:themeColor="text1"/>
          <w:u w:color="FF0000"/>
        </w:rPr>
        <w:t>entro il 10 agosto 2021 sul bilancio di previsione.</w:t>
      </w:r>
    </w:p>
    <w:p w:rsidR="0092138C" w:rsidRDefault="0092138C">
      <w:pPr>
        <w:spacing w:after="0" w:line="360" w:lineRule="auto"/>
        <w:ind w:left="360"/>
        <w:jc w:val="both"/>
      </w:pPr>
    </w:p>
    <w:p w:rsidR="0092138C" w:rsidRDefault="0092138C">
      <w:pPr>
        <w:spacing w:after="0" w:line="360" w:lineRule="auto"/>
        <w:ind w:left="360"/>
        <w:jc w:val="both"/>
      </w:pPr>
      <w:r>
        <w:t>Letto, approvato e sottoscritto</w:t>
      </w:r>
    </w:p>
    <w:p w:rsidR="0092138C" w:rsidRDefault="0092138C">
      <w:pPr>
        <w:spacing w:after="0" w:line="360" w:lineRule="auto"/>
        <w:ind w:left="360"/>
        <w:jc w:val="both"/>
      </w:pPr>
    </w:p>
    <w:p w:rsidR="0092138C" w:rsidRDefault="0092138C">
      <w:pPr>
        <w:spacing w:after="0" w:line="360" w:lineRule="auto"/>
        <w:ind w:left="360"/>
        <w:jc w:val="both"/>
      </w:pPr>
      <w:proofErr w:type="spellStart"/>
      <w:r>
        <w:t>Cheiti</w:t>
      </w:r>
      <w:proofErr w:type="spellEnd"/>
      <w:r>
        <w:t>, 24 giugno 2021</w:t>
      </w:r>
      <w:r w:rsidRPr="0092138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138C" w:rsidRDefault="0092138C" w:rsidP="0092138C">
      <w:pPr>
        <w:spacing w:after="0" w:line="360" w:lineRule="auto"/>
        <w:ind w:left="6024" w:firstLine="348"/>
        <w:jc w:val="both"/>
      </w:pPr>
      <w:r>
        <w:t>Per l’Amministrazione</w:t>
      </w: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  <w:r>
        <w:rPr>
          <w:rStyle w:val="Nessuno"/>
          <w:rFonts w:ascii="Tahoma Bold" w:hAnsi="Tahoma Bold"/>
        </w:rPr>
        <w:t>Cgil</w:t>
      </w:r>
      <w:r>
        <w:rPr>
          <w:rStyle w:val="Nessuno"/>
          <w:rFonts w:ascii="Tahoma Bold" w:hAnsi="Tahoma Bold"/>
        </w:rPr>
        <w:t xml:space="preserve"> </w:t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  <w:t xml:space="preserve">l Sindaco </w:t>
      </w: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  <w:r>
        <w:rPr>
          <w:rStyle w:val="Nessuno"/>
          <w:rFonts w:ascii="Tahoma Bold" w:hAnsi="Tahoma Bold"/>
        </w:rPr>
        <w:t>Cisl</w:t>
      </w:r>
      <w:r w:rsidRPr="0092138C">
        <w:rPr>
          <w:rStyle w:val="Nessuno"/>
          <w:rFonts w:ascii="Tahoma Bold" w:hAnsi="Tahoma Bold"/>
        </w:rPr>
        <w:t xml:space="preserve"> </w:t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bookmarkStart w:id="0" w:name="_GoBack"/>
      <w:bookmarkEnd w:id="0"/>
      <w:r>
        <w:rPr>
          <w:rStyle w:val="Nessuno"/>
          <w:rFonts w:ascii="Tahoma Bold" w:hAnsi="Tahoma Bold"/>
        </w:rPr>
        <w:t>Gli Assessori</w:t>
      </w: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  <w:r>
        <w:rPr>
          <w:rStyle w:val="Nessuno"/>
          <w:rFonts w:ascii="Tahoma Bold" w:hAnsi="Tahoma Bold"/>
        </w:rPr>
        <w:t>Uil</w:t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  <w:r>
        <w:rPr>
          <w:rStyle w:val="Nessuno"/>
          <w:rFonts w:ascii="Tahoma Bold" w:hAnsi="Tahoma Bold"/>
        </w:rPr>
        <w:t>FNP CISL</w:t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  <w:r>
        <w:rPr>
          <w:rStyle w:val="Nessuno"/>
          <w:rFonts w:ascii="Tahoma Bold" w:hAnsi="Tahoma Bold"/>
        </w:rPr>
        <w:tab/>
      </w: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  <w:r>
        <w:rPr>
          <w:rStyle w:val="Nessuno"/>
          <w:rFonts w:ascii="Tahoma Bold" w:hAnsi="Tahoma Bold"/>
        </w:rPr>
        <w:t xml:space="preserve">SPI CGIL </w:t>
      </w:r>
    </w:p>
    <w:p w:rsidR="0092138C" w:rsidRDefault="0092138C">
      <w:pPr>
        <w:spacing w:after="0" w:line="360" w:lineRule="auto"/>
        <w:ind w:left="360"/>
        <w:jc w:val="both"/>
        <w:rPr>
          <w:rStyle w:val="Nessuno"/>
          <w:rFonts w:ascii="Tahoma Bold" w:hAnsi="Tahoma Bold"/>
        </w:rPr>
      </w:pPr>
    </w:p>
    <w:p w:rsidR="0092138C" w:rsidRDefault="0092138C">
      <w:pPr>
        <w:spacing w:after="0" w:line="360" w:lineRule="auto"/>
        <w:ind w:left="360"/>
        <w:jc w:val="both"/>
      </w:pPr>
      <w:r>
        <w:rPr>
          <w:rStyle w:val="Nessuno"/>
          <w:rFonts w:ascii="Tahoma Bold" w:hAnsi="Tahoma Bold"/>
        </w:rPr>
        <w:t>UILP UIL</w:t>
      </w:r>
      <w:r>
        <w:tab/>
      </w:r>
      <w:r>
        <w:tab/>
      </w:r>
      <w:r>
        <w:tab/>
      </w:r>
      <w:r>
        <w:tab/>
      </w:r>
    </w:p>
    <w:p w:rsidR="0092138C" w:rsidRDefault="0092138C" w:rsidP="0092138C">
      <w:pPr>
        <w:spacing w:after="0" w:line="360" w:lineRule="auto"/>
        <w:jc w:val="both"/>
      </w:pPr>
    </w:p>
    <w:sectPr w:rsidR="0092138C">
      <w:headerReference w:type="default" r:id="rId7"/>
      <w:footerReference w:type="default" r:id="rId8"/>
      <w:pgSz w:w="11900" w:h="16840"/>
      <w:pgMar w:top="1417" w:right="1700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11" w:rsidRDefault="002D5E11">
      <w:pPr>
        <w:spacing w:after="0" w:line="240" w:lineRule="auto"/>
      </w:pPr>
      <w:r>
        <w:separator/>
      </w:r>
    </w:p>
  </w:endnote>
  <w:endnote w:type="continuationSeparator" w:id="0">
    <w:p w:rsidR="002D5E11" w:rsidRDefault="002D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ahoma Bold">
    <w:altName w:val="Tahom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46" w:rsidRDefault="002D5E11">
    <w:pPr>
      <w:pStyle w:val="Pidipagina"/>
      <w:tabs>
        <w:tab w:val="clear" w:pos="9638"/>
        <w:tab w:val="right" w:pos="8762"/>
      </w:tabs>
      <w:jc w:val="center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 w:rsidR="00E2105A">
      <w:rPr>
        <w:rStyle w:val="Nessuno"/>
      </w:rPr>
      <w:fldChar w:fldCharType="separate"/>
    </w:r>
    <w:r w:rsidR="00E2105A">
      <w:rPr>
        <w:rStyle w:val="Nessuno"/>
        <w:noProof/>
      </w:rPr>
      <w:t>1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11" w:rsidRDefault="002D5E11">
      <w:pPr>
        <w:spacing w:after="0" w:line="240" w:lineRule="auto"/>
      </w:pPr>
      <w:r>
        <w:separator/>
      </w:r>
    </w:p>
  </w:footnote>
  <w:footnote w:type="continuationSeparator" w:id="0">
    <w:p w:rsidR="002D5E11" w:rsidRDefault="002D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246" w:rsidRDefault="00B4624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847"/>
    <w:multiLevelType w:val="hybridMultilevel"/>
    <w:tmpl w:val="1A163CDE"/>
    <w:styleLink w:val="Stileimportato1"/>
    <w:lvl w:ilvl="0" w:tplc="8B5CBBBE">
      <w:start w:val="1"/>
      <w:numFmt w:val="bullet"/>
      <w:lvlText w:val="·"/>
      <w:lvlJc w:val="left"/>
      <w:pPr>
        <w:ind w:left="77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4678F8">
      <w:start w:val="1"/>
      <w:numFmt w:val="bullet"/>
      <w:lvlText w:val="o"/>
      <w:lvlJc w:val="left"/>
      <w:pPr>
        <w:ind w:left="14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CE889C">
      <w:start w:val="1"/>
      <w:numFmt w:val="bullet"/>
      <w:lvlText w:val="▪"/>
      <w:lvlJc w:val="left"/>
      <w:pPr>
        <w:ind w:left="22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24798C">
      <w:start w:val="1"/>
      <w:numFmt w:val="bullet"/>
      <w:lvlText w:val="·"/>
      <w:lvlJc w:val="left"/>
      <w:pPr>
        <w:ind w:left="29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666FA8">
      <w:start w:val="1"/>
      <w:numFmt w:val="bullet"/>
      <w:lvlText w:val="o"/>
      <w:lvlJc w:val="left"/>
      <w:pPr>
        <w:ind w:left="36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67814">
      <w:start w:val="1"/>
      <w:numFmt w:val="bullet"/>
      <w:lvlText w:val="▪"/>
      <w:lvlJc w:val="left"/>
      <w:pPr>
        <w:ind w:left="43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C2104">
      <w:start w:val="1"/>
      <w:numFmt w:val="bullet"/>
      <w:lvlText w:val="·"/>
      <w:lvlJc w:val="left"/>
      <w:pPr>
        <w:ind w:left="50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ECB20C">
      <w:start w:val="1"/>
      <w:numFmt w:val="bullet"/>
      <w:lvlText w:val="o"/>
      <w:lvlJc w:val="left"/>
      <w:pPr>
        <w:ind w:left="58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2C6510">
      <w:start w:val="1"/>
      <w:numFmt w:val="bullet"/>
      <w:lvlText w:val="▪"/>
      <w:lvlJc w:val="left"/>
      <w:pPr>
        <w:ind w:left="65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C53D2A"/>
    <w:multiLevelType w:val="hybridMultilevel"/>
    <w:tmpl w:val="7BAACAF8"/>
    <w:styleLink w:val="Stileimportato3"/>
    <w:lvl w:ilvl="0" w:tplc="27F8A7FA">
      <w:start w:val="1"/>
      <w:numFmt w:val="bullet"/>
      <w:lvlText w:val="·"/>
      <w:lvlJc w:val="left"/>
      <w:pPr>
        <w:ind w:left="2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D4DA04">
      <w:start w:val="1"/>
      <w:numFmt w:val="bullet"/>
      <w:lvlText w:val="o"/>
      <w:lvlJc w:val="left"/>
      <w:pPr>
        <w:ind w:left="2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028014">
      <w:start w:val="1"/>
      <w:numFmt w:val="bullet"/>
      <w:lvlText w:val="▪"/>
      <w:lvlJc w:val="left"/>
      <w:pPr>
        <w:ind w:left="3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4C662">
      <w:start w:val="1"/>
      <w:numFmt w:val="bullet"/>
      <w:lvlText w:val="·"/>
      <w:lvlJc w:val="left"/>
      <w:pPr>
        <w:ind w:left="42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4C3A42">
      <w:start w:val="1"/>
      <w:numFmt w:val="bullet"/>
      <w:lvlText w:val="o"/>
      <w:lvlJc w:val="left"/>
      <w:pPr>
        <w:ind w:left="50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3CCF1A">
      <w:start w:val="1"/>
      <w:numFmt w:val="bullet"/>
      <w:lvlText w:val="▪"/>
      <w:lvlJc w:val="left"/>
      <w:pPr>
        <w:ind w:left="57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B21142">
      <w:start w:val="1"/>
      <w:numFmt w:val="bullet"/>
      <w:lvlText w:val="·"/>
      <w:lvlJc w:val="left"/>
      <w:pPr>
        <w:ind w:left="6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44434C">
      <w:start w:val="1"/>
      <w:numFmt w:val="bullet"/>
      <w:lvlText w:val="o"/>
      <w:lvlJc w:val="left"/>
      <w:pPr>
        <w:ind w:left="7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0E65B6">
      <w:start w:val="1"/>
      <w:numFmt w:val="bullet"/>
      <w:lvlText w:val="▪"/>
      <w:lvlJc w:val="left"/>
      <w:pPr>
        <w:ind w:left="7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6A6DAA"/>
    <w:multiLevelType w:val="hybridMultilevel"/>
    <w:tmpl w:val="9FAE5778"/>
    <w:numStyleLink w:val="Stileimportato20"/>
  </w:abstractNum>
  <w:abstractNum w:abstractNumId="3" w15:restartNumberingAfterBreak="0">
    <w:nsid w:val="371C62EE"/>
    <w:multiLevelType w:val="hybridMultilevel"/>
    <w:tmpl w:val="1A163CDE"/>
    <w:numStyleLink w:val="Stileimportato1"/>
  </w:abstractNum>
  <w:abstractNum w:abstractNumId="4" w15:restartNumberingAfterBreak="0">
    <w:nsid w:val="3CAE180B"/>
    <w:multiLevelType w:val="hybridMultilevel"/>
    <w:tmpl w:val="12EAEEBC"/>
    <w:styleLink w:val="Stileimportato4"/>
    <w:lvl w:ilvl="0" w:tplc="31C6F262">
      <w:start w:val="1"/>
      <w:numFmt w:val="bullet"/>
      <w:lvlText w:val="·"/>
      <w:lvlJc w:val="left"/>
      <w:pPr>
        <w:ind w:left="21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40980">
      <w:start w:val="1"/>
      <w:numFmt w:val="bullet"/>
      <w:lvlText w:val="o"/>
      <w:lvlJc w:val="left"/>
      <w:pPr>
        <w:ind w:left="28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C8E100">
      <w:start w:val="1"/>
      <w:numFmt w:val="bullet"/>
      <w:lvlText w:val="▪"/>
      <w:lvlJc w:val="left"/>
      <w:pPr>
        <w:ind w:left="35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E6DAE">
      <w:start w:val="1"/>
      <w:numFmt w:val="bullet"/>
      <w:lvlText w:val="·"/>
      <w:lvlJc w:val="left"/>
      <w:pPr>
        <w:ind w:left="42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412EC">
      <w:start w:val="1"/>
      <w:numFmt w:val="bullet"/>
      <w:lvlText w:val="o"/>
      <w:lvlJc w:val="left"/>
      <w:pPr>
        <w:ind w:left="50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62CBC8">
      <w:start w:val="1"/>
      <w:numFmt w:val="bullet"/>
      <w:lvlText w:val="▪"/>
      <w:lvlJc w:val="left"/>
      <w:pPr>
        <w:ind w:left="57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A8A536">
      <w:start w:val="1"/>
      <w:numFmt w:val="bullet"/>
      <w:lvlText w:val="·"/>
      <w:lvlJc w:val="left"/>
      <w:pPr>
        <w:ind w:left="64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B82412">
      <w:start w:val="1"/>
      <w:numFmt w:val="bullet"/>
      <w:lvlText w:val="o"/>
      <w:lvlJc w:val="left"/>
      <w:pPr>
        <w:ind w:left="71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8C9C18">
      <w:start w:val="1"/>
      <w:numFmt w:val="bullet"/>
      <w:lvlText w:val="▪"/>
      <w:lvlJc w:val="left"/>
      <w:pPr>
        <w:ind w:left="78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EB9039C"/>
    <w:multiLevelType w:val="hybridMultilevel"/>
    <w:tmpl w:val="7BAACAF8"/>
    <w:numStyleLink w:val="Stileimportato3"/>
  </w:abstractNum>
  <w:abstractNum w:abstractNumId="6" w15:restartNumberingAfterBreak="0">
    <w:nsid w:val="476F1EA2"/>
    <w:multiLevelType w:val="hybridMultilevel"/>
    <w:tmpl w:val="83A61B4E"/>
    <w:numStyleLink w:val="Stileimportato2"/>
  </w:abstractNum>
  <w:abstractNum w:abstractNumId="7" w15:restartNumberingAfterBreak="0">
    <w:nsid w:val="4C7D0E28"/>
    <w:multiLevelType w:val="hybridMultilevel"/>
    <w:tmpl w:val="9FAE5778"/>
    <w:styleLink w:val="Stileimportato20"/>
    <w:lvl w:ilvl="0" w:tplc="11F4355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1EEEE0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7A97DE">
      <w:start w:val="1"/>
      <w:numFmt w:val="bullet"/>
      <w:lvlText w:val="·"/>
      <w:lvlJc w:val="left"/>
      <w:pPr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3C6900">
      <w:start w:val="1"/>
      <w:numFmt w:val="bullet"/>
      <w:lvlText w:val="·"/>
      <w:lvlJc w:val="left"/>
      <w:pPr>
        <w:ind w:left="315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5EF2FE">
      <w:start w:val="1"/>
      <w:numFmt w:val="bullet"/>
      <w:lvlText w:val="·"/>
      <w:lvlJc w:val="left"/>
      <w:pPr>
        <w:ind w:left="41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9A88C4">
      <w:start w:val="1"/>
      <w:numFmt w:val="bullet"/>
      <w:lvlText w:val="·"/>
      <w:lvlJc w:val="left"/>
      <w:pPr>
        <w:ind w:left="513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C762E">
      <w:start w:val="1"/>
      <w:numFmt w:val="bullet"/>
      <w:lvlText w:val="·"/>
      <w:lvlJc w:val="left"/>
      <w:pPr>
        <w:ind w:left="61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547D60">
      <w:start w:val="1"/>
      <w:numFmt w:val="bullet"/>
      <w:lvlText w:val="·"/>
      <w:lvlJc w:val="left"/>
      <w:pPr>
        <w:ind w:left="711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F6EDDE">
      <w:start w:val="1"/>
      <w:numFmt w:val="bullet"/>
      <w:lvlText w:val="·"/>
      <w:lvlJc w:val="left"/>
      <w:pPr>
        <w:ind w:left="81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D42DB5"/>
    <w:multiLevelType w:val="hybridMultilevel"/>
    <w:tmpl w:val="83A61B4E"/>
    <w:styleLink w:val="Stileimportato2"/>
    <w:lvl w:ilvl="0" w:tplc="EA5AFF5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7020E2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5049EE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E6D0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2FF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18B35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DE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BC7D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9C694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78625E1"/>
    <w:multiLevelType w:val="hybridMultilevel"/>
    <w:tmpl w:val="12EAEEBC"/>
    <w:numStyleLink w:val="Stileimportato4"/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9"/>
  </w:num>
  <w:num w:numId="11">
    <w:abstractNumId w:val="6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46"/>
    <w:rsid w:val="002D5E11"/>
    <w:rsid w:val="0092138C"/>
    <w:rsid w:val="00B46246"/>
    <w:rsid w:val="00E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C77A4"/>
  <w15:docId w15:val="{BF7F1508-536E-DB46-9725-C2E1ADEC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20">
    <w:name w:val="Stile importato 2.0"/>
    <w:pPr>
      <w:numPr>
        <w:numId w:val="7"/>
      </w:numPr>
    </w:pPr>
  </w:style>
  <w:style w:type="numbering" w:customStyle="1" w:styleId="Stileimportato4">
    <w:name w:val="Stile importato 4"/>
    <w:pPr>
      <w:numPr>
        <w:numId w:val="9"/>
      </w:numPr>
    </w:pPr>
  </w:style>
  <w:style w:type="paragraph" w:styleId="Corpotesto">
    <w:name w:val="Body Text"/>
    <w:pPr>
      <w:spacing w:after="140" w:line="276" w:lineRule="auto"/>
    </w:pPr>
    <w:rPr>
      <w:rFonts w:eastAsia="Times New Roman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2021-06-24T08:50:00Z</dcterms:created>
  <dcterms:modified xsi:type="dcterms:W3CDTF">2021-06-24T08:50:00Z</dcterms:modified>
</cp:coreProperties>
</file>